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r w:rsidRPr="009A26A1">
        <w:rPr>
          <w:rFonts w:ascii="Palatino Linotype" w:hAnsi="Palatino Linotype"/>
          <w:b/>
          <w:sz w:val="24"/>
          <w:szCs w:val="24"/>
        </w:rPr>
        <w:t>Metepec, México.</w:t>
      </w:r>
    </w:p>
    <w:p w:rsidR="00B72322" w:rsidRPr="009A26A1" w:rsidRDefault="00561B33"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Febrero 18</w:t>
      </w:r>
      <w:r w:rsidR="002E589A" w:rsidRPr="009A26A1">
        <w:rPr>
          <w:rFonts w:ascii="Palatino Linotype" w:hAnsi="Palatino Linotype"/>
          <w:b/>
          <w:sz w:val="24"/>
          <w:szCs w:val="24"/>
        </w:rPr>
        <w:t xml:space="preserve"> </w:t>
      </w:r>
      <w:r w:rsidR="004C7C6B" w:rsidRPr="009A26A1">
        <w:rPr>
          <w:rFonts w:ascii="Palatino Linotype" w:hAnsi="Palatino Linotype"/>
          <w:b/>
          <w:sz w:val="24"/>
          <w:szCs w:val="24"/>
        </w:rPr>
        <w:t>de 201</w:t>
      </w:r>
      <w:r>
        <w:rPr>
          <w:rFonts w:ascii="Palatino Linotype" w:hAnsi="Palatino Linotype"/>
          <w:b/>
          <w:sz w:val="24"/>
          <w:szCs w:val="24"/>
        </w:rPr>
        <w:t>9</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561B33">
        <w:rPr>
          <w:rFonts w:ascii="Palatino Linotype" w:hAnsi="Palatino Linotype"/>
          <w:b/>
          <w:sz w:val="24"/>
          <w:szCs w:val="24"/>
        </w:rPr>
        <w:t>SEXTA</w:t>
      </w:r>
      <w:r w:rsidR="002E589A" w:rsidRPr="009A26A1">
        <w:rPr>
          <w:rFonts w:ascii="Palatino Linotype" w:hAnsi="Palatino Linotype"/>
          <w:b/>
          <w:sz w:val="24"/>
          <w:szCs w:val="24"/>
        </w:rPr>
        <w:t xml:space="preserve"> </w:t>
      </w:r>
      <w:r w:rsidRPr="009A26A1">
        <w:rPr>
          <w:rFonts w:ascii="Palatino Linotype" w:hAnsi="Palatino Linotype"/>
          <w:b/>
          <w:sz w:val="24"/>
          <w:szCs w:val="24"/>
        </w:rPr>
        <w:t xml:space="preserve">SESIÓN ORDINARIA DEL </w:t>
      </w:r>
      <w:r w:rsidR="00561B33">
        <w:rPr>
          <w:rFonts w:ascii="Palatino Linotype" w:hAnsi="Palatino Linotype"/>
          <w:b/>
          <w:sz w:val="24"/>
          <w:szCs w:val="24"/>
        </w:rPr>
        <w:t>TRECE</w:t>
      </w:r>
      <w:r w:rsidR="00FC00D0" w:rsidRPr="009A26A1">
        <w:rPr>
          <w:rFonts w:ascii="Palatino Linotype" w:hAnsi="Palatino Linotype"/>
          <w:b/>
          <w:sz w:val="24"/>
          <w:szCs w:val="24"/>
        </w:rPr>
        <w:t xml:space="preserve"> </w:t>
      </w:r>
      <w:r w:rsidR="005604F4" w:rsidRPr="009A26A1">
        <w:rPr>
          <w:rFonts w:ascii="Palatino Linotype" w:hAnsi="Palatino Linotype"/>
          <w:b/>
          <w:sz w:val="24"/>
          <w:szCs w:val="24"/>
        </w:rPr>
        <w:t xml:space="preserve">DE </w:t>
      </w:r>
      <w:r w:rsidR="00561B33">
        <w:rPr>
          <w:rFonts w:ascii="Palatino Linotype" w:hAnsi="Palatino Linotype"/>
          <w:b/>
          <w:sz w:val="24"/>
          <w:szCs w:val="24"/>
        </w:rPr>
        <w:t xml:space="preserve">FEBRERO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561B33">
        <w:rPr>
          <w:rFonts w:ascii="Palatino Linotype" w:hAnsi="Palatino Linotype"/>
          <w:b/>
          <w:sz w:val="24"/>
          <w:szCs w:val="24"/>
        </w:rPr>
        <w:t xml:space="preserve">NUEVE, EN </w:t>
      </w:r>
      <w:r w:rsidR="0043077C" w:rsidRPr="009A26A1">
        <w:rPr>
          <w:rFonts w:ascii="Palatino Linotype" w:hAnsi="Palatino Linotype"/>
          <w:b/>
          <w:sz w:val="24"/>
          <w:szCs w:val="24"/>
        </w:rPr>
        <w:t>L</w:t>
      </w:r>
      <w:r w:rsidR="00561B33">
        <w:rPr>
          <w:rFonts w:ascii="Palatino Linotype" w:hAnsi="Palatino Linotype"/>
          <w:b/>
          <w:sz w:val="24"/>
          <w:szCs w:val="24"/>
        </w:rPr>
        <w:t>OS</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561B33">
        <w:rPr>
          <w:rFonts w:ascii="Palatino Linotype" w:hAnsi="Palatino Linotype"/>
          <w:b/>
          <w:sz w:val="24"/>
          <w:szCs w:val="24"/>
        </w:rPr>
        <w:t>4538</w:t>
      </w:r>
      <w:r w:rsidR="005765BC" w:rsidRPr="009A26A1">
        <w:rPr>
          <w:rFonts w:ascii="Palatino Linotype" w:hAnsi="Palatino Linotype"/>
          <w:b/>
          <w:sz w:val="24"/>
          <w:szCs w:val="24"/>
        </w:rPr>
        <w:t>/INFOEM/IP/RR/201</w:t>
      </w:r>
      <w:r w:rsidR="00FA58BE" w:rsidRPr="009A26A1">
        <w:rPr>
          <w:rFonts w:ascii="Palatino Linotype" w:hAnsi="Palatino Linotype"/>
          <w:b/>
          <w:sz w:val="24"/>
          <w:szCs w:val="24"/>
        </w:rPr>
        <w:t>8</w:t>
      </w:r>
      <w:r w:rsidR="00561B33">
        <w:rPr>
          <w:rFonts w:ascii="Palatino Linotype" w:hAnsi="Palatino Linotype"/>
          <w:b/>
          <w:sz w:val="24"/>
          <w:szCs w:val="24"/>
        </w:rPr>
        <w:t xml:space="preserve">, </w:t>
      </w:r>
      <w:r w:rsidR="00561B33" w:rsidRPr="009A26A1">
        <w:rPr>
          <w:rFonts w:ascii="Palatino Linotype" w:hAnsi="Palatino Linotype"/>
          <w:b/>
          <w:sz w:val="24"/>
          <w:szCs w:val="24"/>
        </w:rPr>
        <w:t>0</w:t>
      </w:r>
      <w:r w:rsidR="00561B33">
        <w:rPr>
          <w:rFonts w:ascii="Palatino Linotype" w:hAnsi="Palatino Linotype"/>
          <w:b/>
          <w:sz w:val="24"/>
          <w:szCs w:val="24"/>
        </w:rPr>
        <w:t>4540</w:t>
      </w:r>
      <w:r w:rsidR="00561B33" w:rsidRPr="009A26A1">
        <w:rPr>
          <w:rFonts w:ascii="Palatino Linotype" w:hAnsi="Palatino Linotype"/>
          <w:b/>
          <w:sz w:val="24"/>
          <w:szCs w:val="24"/>
        </w:rPr>
        <w:t>/INFOEM/IP/RR/2018</w:t>
      </w:r>
      <w:r w:rsidR="00561B33">
        <w:rPr>
          <w:rFonts w:ascii="Palatino Linotype" w:hAnsi="Palatino Linotype"/>
          <w:b/>
          <w:sz w:val="24"/>
          <w:szCs w:val="24"/>
        </w:rPr>
        <w:t xml:space="preserve"> Y </w:t>
      </w:r>
      <w:r w:rsidR="00561B33" w:rsidRPr="009A26A1">
        <w:rPr>
          <w:rFonts w:ascii="Palatino Linotype" w:hAnsi="Palatino Linotype"/>
          <w:b/>
          <w:sz w:val="24"/>
          <w:szCs w:val="24"/>
        </w:rPr>
        <w:t>0</w:t>
      </w:r>
      <w:r w:rsidR="00561B33">
        <w:rPr>
          <w:rFonts w:ascii="Palatino Linotype" w:hAnsi="Palatino Linotype"/>
          <w:b/>
          <w:sz w:val="24"/>
          <w:szCs w:val="24"/>
        </w:rPr>
        <w:t>4542</w:t>
      </w:r>
      <w:r w:rsidR="00561B33" w:rsidRPr="009A26A1">
        <w:rPr>
          <w:rFonts w:ascii="Palatino Linotype" w:hAnsi="Palatino Linotype"/>
          <w:b/>
          <w:sz w:val="24"/>
          <w:szCs w:val="24"/>
        </w:rPr>
        <w:t>/INFOEM/IP/RR/2018</w:t>
      </w:r>
      <w:r w:rsidR="00561B33">
        <w:rPr>
          <w:rFonts w:ascii="Palatino Linotype" w:hAnsi="Palatino Linotype"/>
          <w:b/>
          <w:sz w:val="24"/>
          <w:szCs w:val="24"/>
        </w:rPr>
        <w:t xml:space="preserve"> ACUMULADOS</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al</w:t>
      </w:r>
      <w:r w:rsidRPr="009A26A1">
        <w:rPr>
          <w:rFonts w:ascii="Palatino Linotype" w:hAnsi="Palatino Linotype"/>
          <w:sz w:val="24"/>
          <w:szCs w:val="24"/>
        </w:rPr>
        <w:t xml:space="preserve"> recurso de revisión </w:t>
      </w:r>
      <w:r w:rsidR="00542A15" w:rsidRPr="009A26A1">
        <w:rPr>
          <w:rFonts w:ascii="Palatino Linotype" w:hAnsi="Palatino Linotype" w:cs="Arial"/>
          <w:b/>
          <w:bCs/>
          <w:sz w:val="24"/>
          <w:szCs w:val="24"/>
          <w:lang w:eastAsia="es-MX"/>
        </w:rPr>
        <w:t>0</w:t>
      </w:r>
      <w:r w:rsidR="00561B33">
        <w:rPr>
          <w:rFonts w:ascii="Palatino Linotype" w:hAnsi="Palatino Linotype" w:cs="Arial"/>
          <w:b/>
          <w:bCs/>
          <w:sz w:val="24"/>
          <w:szCs w:val="24"/>
          <w:lang w:eastAsia="es-MX"/>
        </w:rPr>
        <w:t>4538</w:t>
      </w:r>
      <w:r w:rsidR="00146F5D" w:rsidRPr="009A26A1">
        <w:rPr>
          <w:rFonts w:ascii="Palatino Linotype" w:hAnsi="Palatino Linotype" w:cs="Arial"/>
          <w:b/>
          <w:bCs/>
          <w:sz w:val="24"/>
          <w:szCs w:val="24"/>
          <w:lang w:eastAsia="es-MX"/>
        </w:rPr>
        <w:t>/INFOEM/IP/RR/201</w:t>
      </w:r>
      <w:r w:rsidR="00FA58BE" w:rsidRPr="009A26A1">
        <w:rPr>
          <w:rFonts w:ascii="Palatino Linotype" w:hAnsi="Palatino Linotype" w:cs="Arial"/>
          <w:b/>
          <w:bCs/>
          <w:sz w:val="24"/>
          <w:szCs w:val="24"/>
          <w:lang w:eastAsia="es-MX"/>
        </w:rPr>
        <w:t>8</w:t>
      </w:r>
      <w:r w:rsidR="00146F5D" w:rsidRPr="009A26A1">
        <w:rPr>
          <w:rFonts w:ascii="Palatino Linotype" w:hAnsi="Palatino Linotype" w:cs="Arial"/>
          <w:bCs/>
          <w:sz w:val="24"/>
          <w:szCs w:val="24"/>
          <w:lang w:eastAsia="es-MX"/>
        </w:rPr>
        <w:t xml:space="preserve"> </w:t>
      </w:r>
      <w:r w:rsidR="006C0762" w:rsidRPr="009A26A1">
        <w:rPr>
          <w:rFonts w:ascii="Palatino Linotype" w:hAnsi="Palatino Linotype" w:cs="Arial"/>
          <w:bCs/>
          <w:sz w:val="24"/>
          <w:szCs w:val="24"/>
          <w:lang w:eastAsia="es-MX"/>
        </w:rPr>
        <w:t xml:space="preserve">y </w:t>
      </w:r>
      <w:r w:rsidR="006C0762" w:rsidRPr="00561B33">
        <w:rPr>
          <w:rFonts w:ascii="Palatino Linotype" w:hAnsi="Palatino Linotype" w:cs="Arial"/>
          <w:b/>
          <w:bCs/>
          <w:sz w:val="24"/>
          <w:szCs w:val="24"/>
          <w:lang w:eastAsia="es-MX"/>
        </w:rPr>
        <w:t xml:space="preserve">acumulados </w:t>
      </w:r>
      <w:r w:rsidR="00AC664A" w:rsidRPr="009A26A1">
        <w:rPr>
          <w:rFonts w:ascii="Palatino Linotype" w:hAnsi="Palatino Linotype"/>
          <w:sz w:val="24"/>
          <w:szCs w:val="24"/>
        </w:rPr>
        <w:t xml:space="preserve">presentada por </w:t>
      </w:r>
      <w:r w:rsidR="00542A15" w:rsidRPr="009A26A1">
        <w:rPr>
          <w:rFonts w:ascii="Palatino Linotype" w:hAnsi="Palatino Linotype"/>
          <w:sz w:val="24"/>
          <w:szCs w:val="24"/>
        </w:rPr>
        <w:t>e</w:t>
      </w:r>
      <w:r w:rsidR="00146F5D" w:rsidRPr="009A26A1">
        <w:rPr>
          <w:rFonts w:ascii="Palatino Linotype" w:hAnsi="Palatino Linotype"/>
          <w:sz w:val="24"/>
          <w:szCs w:val="24"/>
        </w:rPr>
        <w:t>l Comisionad</w:t>
      </w:r>
      <w:r w:rsidR="00542A15" w:rsidRPr="009A26A1">
        <w:rPr>
          <w:rFonts w:ascii="Palatino Linotype" w:hAnsi="Palatino Linotype"/>
          <w:sz w:val="24"/>
          <w:szCs w:val="24"/>
        </w:rPr>
        <w:t>o</w:t>
      </w:r>
      <w:r w:rsidR="00146F5D" w:rsidRPr="009A26A1">
        <w:rPr>
          <w:rFonts w:ascii="Palatino Linotype" w:hAnsi="Palatino Linotype"/>
          <w:sz w:val="24"/>
          <w:szCs w:val="24"/>
        </w:rPr>
        <w:t xml:space="preserve"> </w:t>
      </w:r>
      <w:r w:rsidR="00542A15" w:rsidRPr="009A26A1">
        <w:rPr>
          <w:rFonts w:ascii="Palatino Linotype" w:hAnsi="Palatino Linotype"/>
          <w:sz w:val="24"/>
          <w:szCs w:val="24"/>
        </w:rPr>
        <w:t>José Guadalupe Luna Hernández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561B33" w:rsidRDefault="00B72322" w:rsidP="00D923D5">
      <w:pPr>
        <w:spacing w:before="240" w:after="240" w:line="360" w:lineRule="auto"/>
        <w:jc w:val="both"/>
        <w:rPr>
          <w:rFonts w:ascii="Palatino Linotype" w:hAnsi="Palatino Linotype"/>
          <w:sz w:val="24"/>
          <w:szCs w:val="24"/>
        </w:rPr>
      </w:pPr>
      <w:r w:rsidRPr="009A26A1">
        <w:rPr>
          <w:rFonts w:ascii="Palatino Linotype" w:hAnsi="Palatino Linotype"/>
          <w:sz w:val="24"/>
          <w:szCs w:val="24"/>
        </w:rPr>
        <w:t>De manera previa a la</w:t>
      </w:r>
      <w:r w:rsidR="00784989" w:rsidRPr="009A26A1">
        <w:rPr>
          <w:rFonts w:ascii="Palatino Linotype" w:hAnsi="Palatino Linotype"/>
          <w:sz w:val="24"/>
          <w:szCs w:val="24"/>
        </w:rPr>
        <w:t xml:space="preserve"> emisión del presente voto, se debe</w:t>
      </w:r>
      <w:r w:rsidRPr="009A26A1">
        <w:rPr>
          <w:rFonts w:ascii="Palatino Linotype" w:hAnsi="Palatino Linotype"/>
          <w:sz w:val="24"/>
          <w:szCs w:val="24"/>
        </w:rPr>
        <w:t xml:space="preserve"> precisar</w:t>
      </w:r>
      <w:r w:rsidR="003565EA" w:rsidRPr="009A26A1">
        <w:rPr>
          <w:rFonts w:ascii="Palatino Linotype" w:hAnsi="Palatino Linotype"/>
          <w:sz w:val="24"/>
          <w:szCs w:val="24"/>
        </w:rPr>
        <w:t xml:space="preserve"> la materia en que radicó </w:t>
      </w:r>
      <w:r w:rsidR="00CD36A0" w:rsidRPr="009A26A1">
        <w:rPr>
          <w:rFonts w:ascii="Palatino Linotype" w:hAnsi="Palatino Linotype"/>
          <w:sz w:val="24"/>
          <w:szCs w:val="24"/>
        </w:rPr>
        <w:t xml:space="preserve">el </w:t>
      </w:r>
      <w:r w:rsidR="009B5C84" w:rsidRPr="009A26A1">
        <w:rPr>
          <w:rFonts w:ascii="Palatino Linotype" w:hAnsi="Palatino Linotype"/>
          <w:sz w:val="24"/>
          <w:szCs w:val="24"/>
        </w:rPr>
        <w:t>recurso</w:t>
      </w:r>
      <w:r w:rsidR="00784989" w:rsidRPr="009A26A1">
        <w:rPr>
          <w:rFonts w:ascii="Palatino Linotype" w:hAnsi="Palatino Linotype"/>
          <w:sz w:val="24"/>
          <w:szCs w:val="24"/>
        </w:rPr>
        <w:t xml:space="preserve"> de revisión, </w:t>
      </w:r>
      <w:r w:rsidR="00CD36A0" w:rsidRPr="009A26A1">
        <w:rPr>
          <w:rFonts w:ascii="Palatino Linotype" w:hAnsi="Palatino Linotype"/>
          <w:sz w:val="24"/>
          <w:szCs w:val="24"/>
        </w:rPr>
        <w:t xml:space="preserve">el cual consiste en la entrega de </w:t>
      </w:r>
      <w:r w:rsidR="003E566C" w:rsidRPr="009A26A1">
        <w:rPr>
          <w:rFonts w:ascii="Palatino Linotype" w:hAnsi="Palatino Linotype"/>
          <w:sz w:val="24"/>
          <w:szCs w:val="24"/>
        </w:rPr>
        <w:t>documentación</w:t>
      </w:r>
      <w:r w:rsidR="00CD36A0" w:rsidRPr="009A26A1">
        <w:rPr>
          <w:rFonts w:ascii="Palatino Linotype" w:hAnsi="Palatino Linotype"/>
          <w:sz w:val="24"/>
          <w:szCs w:val="24"/>
        </w:rPr>
        <w:t xml:space="preserve"> relacionada</w:t>
      </w:r>
      <w:r w:rsidR="006D5D9E" w:rsidRPr="009A26A1">
        <w:rPr>
          <w:rFonts w:ascii="Palatino Linotype" w:hAnsi="Palatino Linotype"/>
          <w:sz w:val="24"/>
          <w:szCs w:val="24"/>
        </w:rPr>
        <w:t xml:space="preserve"> con</w:t>
      </w:r>
      <w:r w:rsidR="00561B33">
        <w:rPr>
          <w:rFonts w:ascii="Palatino Linotype" w:hAnsi="Palatino Linotype"/>
          <w:sz w:val="24"/>
          <w:szCs w:val="24"/>
        </w:rPr>
        <w:t xml:space="preserve"> el ingreso, forma de contratación, cargos desempeñados, situación y trayectoria académica y laboral, así como las quejas presentadas en contra de una </w:t>
      </w:r>
      <w:r w:rsidR="00561B33">
        <w:rPr>
          <w:rFonts w:ascii="Palatino Linotype" w:hAnsi="Palatino Linotype"/>
          <w:sz w:val="24"/>
          <w:szCs w:val="24"/>
        </w:rPr>
        <w:lastRenderedPageBreak/>
        <w:t>servidora pública del Colegio de Estudios Científicos y Tecnológicos del Estado de México</w:t>
      </w:r>
      <w:r w:rsidR="004B08CC" w:rsidRPr="009A26A1">
        <w:rPr>
          <w:rFonts w:ascii="Palatino Linotype" w:hAnsi="Palatino Linotype"/>
          <w:sz w:val="24"/>
          <w:szCs w:val="24"/>
        </w:rPr>
        <w:t>.</w:t>
      </w:r>
    </w:p>
    <w:p w:rsidR="006D5D9E" w:rsidRPr="009A26A1" w:rsidRDefault="00561B33" w:rsidP="00D923D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Ante dicha solicitud, el Sujeto Obligado mediante sus respuestas refirió que no localizó entre sus archivos información alguna relacionada con la persona materia de la solicitud, a la cual únicamente refirió con un nombre y apellido, por lo que después de haber realizado una búsqueda no localizó información de la misma. Inconforme con ello, el particular interpuso los medios de impugnación en comento, en los cuales expresó principalmente agravio por considerar que el servidor público habilitado que </w:t>
      </w:r>
      <w:r w:rsidR="00920E16">
        <w:rPr>
          <w:rFonts w:ascii="Palatino Linotype" w:hAnsi="Palatino Linotype"/>
          <w:sz w:val="24"/>
          <w:szCs w:val="24"/>
        </w:rPr>
        <w:t>respondió</w:t>
      </w:r>
      <w:r>
        <w:rPr>
          <w:rFonts w:ascii="Palatino Linotype" w:hAnsi="Palatino Linotype"/>
          <w:sz w:val="24"/>
          <w:szCs w:val="24"/>
        </w:rPr>
        <w:t xml:space="preserve"> a sus </w:t>
      </w:r>
      <w:r w:rsidR="00920E16">
        <w:rPr>
          <w:rFonts w:ascii="Palatino Linotype" w:hAnsi="Palatino Linotype"/>
          <w:sz w:val="24"/>
          <w:szCs w:val="24"/>
        </w:rPr>
        <w:t>planteamientos no cumplió con su labor de búsqueda, por lo que señaló el nombre completo de la servidora pública de la que deseaba obtener información.</w:t>
      </w:r>
    </w:p>
    <w:p w:rsidR="00E506EB" w:rsidRDefault="001D5C8F" w:rsidP="00D923D5">
      <w:pPr>
        <w:spacing w:before="240" w:after="240" w:line="360" w:lineRule="auto"/>
        <w:jc w:val="both"/>
        <w:rPr>
          <w:rFonts w:ascii="Palatino Linotype" w:eastAsia="MS Mincho" w:hAnsi="Palatino Linotype" w:cstheme="majorBidi"/>
          <w:sz w:val="24"/>
          <w:szCs w:val="24"/>
          <w:lang w:val="es-ES_tradnl" w:eastAsia="es-ES"/>
        </w:rPr>
      </w:pPr>
      <w:r w:rsidRPr="009A26A1">
        <w:rPr>
          <w:rFonts w:ascii="Palatino Linotype" w:eastAsia="MS Mincho" w:hAnsi="Palatino Linotype" w:cstheme="majorBidi"/>
          <w:sz w:val="24"/>
          <w:szCs w:val="24"/>
          <w:lang w:val="es-ES_tradnl" w:eastAsia="es-ES"/>
        </w:rPr>
        <w:t>En consecuencia</w:t>
      </w:r>
      <w:r w:rsidR="00DE3B72" w:rsidRPr="009A26A1">
        <w:rPr>
          <w:rFonts w:ascii="Palatino Linotype" w:eastAsia="MS Mincho" w:hAnsi="Palatino Linotype" w:cstheme="majorBidi"/>
          <w:sz w:val="24"/>
          <w:szCs w:val="24"/>
          <w:lang w:val="es-ES_tradnl" w:eastAsia="es-ES"/>
        </w:rPr>
        <w:t xml:space="preserve">, la Ponencia </w:t>
      </w:r>
      <w:r w:rsidR="00AD7E2F">
        <w:rPr>
          <w:rFonts w:ascii="Palatino Linotype" w:eastAsia="MS Mincho" w:hAnsi="Palatino Linotype" w:cstheme="majorBidi"/>
          <w:sz w:val="24"/>
          <w:szCs w:val="24"/>
          <w:lang w:val="es-ES_tradnl" w:eastAsia="es-ES"/>
        </w:rPr>
        <w:t xml:space="preserve">encargada de resolver el asunto, al realizar una búsqueda en el portal del Sujeto Obligado halló que si existía entre sus servidores públicos la persona materia de la solicitud por lo que </w:t>
      </w:r>
      <w:r w:rsidR="00DE3B72" w:rsidRPr="009A26A1">
        <w:rPr>
          <w:rFonts w:ascii="Palatino Linotype" w:eastAsia="MS Mincho" w:hAnsi="Palatino Linotype" w:cstheme="majorBidi"/>
          <w:sz w:val="24"/>
          <w:szCs w:val="24"/>
          <w:lang w:val="es-ES_tradnl" w:eastAsia="es-ES"/>
        </w:rPr>
        <w:t xml:space="preserve">determinó </w:t>
      </w:r>
      <w:r w:rsidR="004A4735" w:rsidRPr="009A26A1">
        <w:rPr>
          <w:rFonts w:ascii="Palatino Linotype" w:eastAsia="MS Mincho" w:hAnsi="Palatino Linotype" w:cstheme="majorBidi"/>
          <w:sz w:val="24"/>
          <w:szCs w:val="24"/>
          <w:lang w:val="es-ES_tradnl" w:eastAsia="es-ES"/>
        </w:rPr>
        <w:t xml:space="preserve">procedente ordenar al Sujeto Obligado </w:t>
      </w:r>
      <w:r w:rsidR="00AD7E2F">
        <w:rPr>
          <w:rFonts w:ascii="Palatino Linotype" w:eastAsia="MS Mincho" w:hAnsi="Palatino Linotype" w:cstheme="majorBidi"/>
          <w:sz w:val="24"/>
          <w:szCs w:val="24"/>
          <w:lang w:val="es-ES_tradnl" w:eastAsia="es-ES"/>
        </w:rPr>
        <w:t>de la totalidad de la información conforme había sido requerida por el particular.</w:t>
      </w:r>
    </w:p>
    <w:p w:rsidR="00AD7E2F" w:rsidRDefault="00652F43" w:rsidP="00AD7E2F">
      <w:pPr>
        <w:spacing w:before="240" w:after="240" w:line="360" w:lineRule="auto"/>
        <w:jc w:val="both"/>
        <w:rPr>
          <w:rFonts w:ascii="Palatino Linotype" w:eastAsia="MS Mincho" w:hAnsi="Palatino Linotype" w:cstheme="majorBidi"/>
          <w:sz w:val="24"/>
          <w:szCs w:val="24"/>
          <w:lang w:val="es-ES_tradnl" w:eastAsia="es-ES"/>
        </w:rPr>
      </w:pPr>
      <w:r w:rsidRPr="009A26A1">
        <w:rPr>
          <w:rStyle w:val="Hipervnculo"/>
          <w:rFonts w:ascii="Palatino Linotype" w:hAnsi="Palatino Linotype" w:cs="Arial"/>
          <w:bCs/>
          <w:color w:val="000000" w:themeColor="text1"/>
          <w:sz w:val="24"/>
          <w:szCs w:val="24"/>
          <w:u w:val="none"/>
        </w:rPr>
        <w:t xml:space="preserve">Ahora bien, es respecto del análisis que hace la ponencia </w:t>
      </w:r>
      <w:r w:rsidR="00AA532F" w:rsidRPr="009A26A1">
        <w:rPr>
          <w:rStyle w:val="Hipervnculo"/>
          <w:rFonts w:ascii="Palatino Linotype" w:hAnsi="Palatino Linotype" w:cs="Arial"/>
          <w:bCs/>
          <w:color w:val="000000" w:themeColor="text1"/>
          <w:sz w:val="24"/>
          <w:szCs w:val="24"/>
          <w:u w:val="none"/>
        </w:rPr>
        <w:t>que resuelve</w:t>
      </w:r>
      <w:r w:rsidRPr="009A26A1">
        <w:rPr>
          <w:rStyle w:val="Hipervnculo"/>
          <w:rFonts w:ascii="Palatino Linotype" w:hAnsi="Palatino Linotype" w:cs="Arial"/>
          <w:bCs/>
          <w:color w:val="000000" w:themeColor="text1"/>
          <w:sz w:val="24"/>
          <w:szCs w:val="24"/>
          <w:u w:val="none"/>
        </w:rPr>
        <w:t xml:space="preserve"> de la información </w:t>
      </w:r>
      <w:r w:rsidR="00432C3A" w:rsidRPr="009A26A1">
        <w:rPr>
          <w:rStyle w:val="Hipervnculo"/>
          <w:rFonts w:ascii="Palatino Linotype" w:hAnsi="Palatino Linotype" w:cs="Arial"/>
          <w:bCs/>
          <w:color w:val="000000" w:themeColor="text1"/>
          <w:sz w:val="24"/>
          <w:szCs w:val="24"/>
          <w:u w:val="none"/>
        </w:rPr>
        <w:t>de la que ordena la entrega</w:t>
      </w:r>
      <w:r w:rsidR="00AD7E2F">
        <w:rPr>
          <w:rStyle w:val="Hipervnculo"/>
          <w:rFonts w:ascii="Palatino Linotype" w:hAnsi="Palatino Linotype" w:cs="Arial"/>
          <w:bCs/>
          <w:color w:val="000000" w:themeColor="text1"/>
          <w:sz w:val="24"/>
          <w:szCs w:val="24"/>
          <w:u w:val="none"/>
        </w:rPr>
        <w:t xml:space="preserve"> en el inciso d del resolutivo Segundo</w:t>
      </w:r>
      <w:r w:rsidR="00432C3A" w:rsidRPr="009A26A1">
        <w:rPr>
          <w:rStyle w:val="Hipervnculo"/>
          <w:rFonts w:ascii="Palatino Linotype" w:hAnsi="Palatino Linotype" w:cs="Arial"/>
          <w:bCs/>
          <w:color w:val="000000" w:themeColor="text1"/>
          <w:sz w:val="24"/>
          <w:szCs w:val="24"/>
          <w:u w:val="none"/>
        </w:rPr>
        <w:t xml:space="preserve">, </w:t>
      </w:r>
      <w:r w:rsidR="005B1B82" w:rsidRPr="009A26A1">
        <w:rPr>
          <w:rStyle w:val="Hipervnculo"/>
          <w:rFonts w:ascii="Palatino Linotype" w:hAnsi="Palatino Linotype" w:cs="Arial"/>
          <w:bCs/>
          <w:color w:val="000000" w:themeColor="text1"/>
          <w:sz w:val="24"/>
          <w:szCs w:val="24"/>
          <w:u w:val="none"/>
        </w:rPr>
        <w:t xml:space="preserve">sobre la que versa el presente voto, ya que a mi consideración </w:t>
      </w:r>
      <w:r w:rsidR="00AD7E2F">
        <w:rPr>
          <w:rStyle w:val="Hipervnculo"/>
          <w:rFonts w:ascii="Palatino Linotype" w:hAnsi="Palatino Linotype" w:cs="Arial"/>
          <w:bCs/>
          <w:color w:val="000000" w:themeColor="text1"/>
          <w:sz w:val="24"/>
          <w:szCs w:val="24"/>
          <w:u w:val="none"/>
        </w:rPr>
        <w:t xml:space="preserve">el periodo por el que se ordena la información resulta innecesario, derivado de que </w:t>
      </w:r>
      <w:r w:rsidR="00AD7E2F">
        <w:rPr>
          <w:rFonts w:ascii="Palatino Linotype" w:eastAsia="MS Mincho" w:hAnsi="Palatino Linotype" w:cstheme="majorBidi"/>
          <w:sz w:val="24"/>
          <w:szCs w:val="24"/>
          <w:lang w:val="es-ES_tradnl" w:eastAsia="es-ES"/>
        </w:rPr>
        <w:t xml:space="preserve">en la resolución en mérito se omitió tomar en consideración la existencia de un precedente del recurso </w:t>
      </w:r>
      <w:r w:rsidR="00AD7E2F">
        <w:rPr>
          <w:rFonts w:ascii="Palatino Linotype" w:eastAsia="MS Mincho" w:hAnsi="Palatino Linotype" w:cstheme="majorBidi"/>
          <w:sz w:val="24"/>
          <w:szCs w:val="24"/>
          <w:lang w:val="es-ES_tradnl" w:eastAsia="es-ES"/>
        </w:rPr>
        <w:lastRenderedPageBreak/>
        <w:t>de revisión 4538/INFOEM/IP/2018, respecto al punto relacionado con las quejas presentadas en contra de la servidora p</w:t>
      </w:r>
      <w:r w:rsidR="00255216">
        <w:rPr>
          <w:rFonts w:ascii="Palatino Linotype" w:eastAsia="MS Mincho" w:hAnsi="Palatino Linotype" w:cstheme="majorBidi"/>
          <w:sz w:val="24"/>
          <w:szCs w:val="24"/>
          <w:lang w:val="es-ES_tradnl" w:eastAsia="es-ES"/>
        </w:rPr>
        <w:t>ública.</w:t>
      </w:r>
    </w:p>
    <w:p w:rsidR="000B3685" w:rsidRDefault="00371839"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Ello es así, ya que en </w:t>
      </w:r>
      <w:r w:rsidR="00CB5FAC">
        <w:rPr>
          <w:rFonts w:ascii="Palatino Linotype" w:hAnsi="Palatino Linotype" w:cs="Arial"/>
          <w:sz w:val="24"/>
          <w:szCs w:val="24"/>
        </w:rPr>
        <w:t>la resolución d</w:t>
      </w:r>
      <w:r>
        <w:rPr>
          <w:rFonts w:ascii="Palatino Linotype" w:hAnsi="Palatino Linotype" w:cs="Arial"/>
          <w:sz w:val="24"/>
          <w:szCs w:val="24"/>
        </w:rPr>
        <w:t>el recurso de revisión 00022/INFOEM/IP/2018 el mismo particular presentó una solicitud de información al mismo Sujeto Obligado, en la cual le requería información relacionada con las quejas interpuestas y los motivos de las mi</w:t>
      </w:r>
      <w:r w:rsidR="00CB5FAC">
        <w:rPr>
          <w:rFonts w:ascii="Palatino Linotype" w:hAnsi="Palatino Linotype" w:cs="Arial"/>
          <w:sz w:val="24"/>
          <w:szCs w:val="24"/>
        </w:rPr>
        <w:t>s</w:t>
      </w:r>
      <w:r>
        <w:rPr>
          <w:rFonts w:ascii="Palatino Linotype" w:hAnsi="Palatino Linotype" w:cs="Arial"/>
          <w:sz w:val="24"/>
          <w:szCs w:val="24"/>
        </w:rPr>
        <w:t>mas en contra de la servidora pública materia de las solicitudes de información; requerimiento que en su momento fue solventado por el Sujeto Obligado al referir la existencia de una sola queja desde su ingreso a la institución; respuesta que fue emitida en veintitrés de noviembre del año dos mil diecisiete.</w:t>
      </w:r>
    </w:p>
    <w:p w:rsidR="004023F7" w:rsidRDefault="000B3685"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Bajo tales ar</w:t>
      </w:r>
      <w:r w:rsidR="004023F7">
        <w:rPr>
          <w:rFonts w:ascii="Palatino Linotype" w:hAnsi="Palatino Linotype" w:cs="Arial"/>
          <w:sz w:val="24"/>
          <w:szCs w:val="24"/>
        </w:rPr>
        <w:t xml:space="preserve">gumentos, estimo que para el análisis del punto referido, la ponencia encargada de resolver debió </w:t>
      </w:r>
      <w:r w:rsidR="002B1D78">
        <w:rPr>
          <w:rFonts w:ascii="Palatino Linotype" w:hAnsi="Palatino Linotype" w:cs="Arial"/>
          <w:sz w:val="24"/>
          <w:szCs w:val="24"/>
        </w:rPr>
        <w:t>tomar en consideración el anterior pronunciamiento del Sujeto Obligado, concretamente porque se trataba del mismo recurrente y de la misma información, en un lapso temporal distinto.</w:t>
      </w:r>
    </w:p>
    <w:p w:rsidR="00CB5FAC" w:rsidRPr="00CB5FAC" w:rsidRDefault="00CB5FAC" w:rsidP="00CB5FAC">
      <w:pPr>
        <w:spacing w:before="240" w:after="360" w:line="360" w:lineRule="auto"/>
        <w:jc w:val="both"/>
        <w:rPr>
          <w:rFonts w:ascii="Palatino Linotype" w:hAnsi="Palatino Linotype" w:cs="Arial"/>
          <w:sz w:val="24"/>
          <w:szCs w:val="24"/>
        </w:rPr>
      </w:pPr>
      <w:r w:rsidRPr="00CB5FAC">
        <w:rPr>
          <w:rFonts w:ascii="Palatino Linotype" w:hAnsi="Palatino Linotype" w:cs="Arial"/>
          <w:sz w:val="24"/>
          <w:szCs w:val="24"/>
        </w:rPr>
        <w:t xml:space="preserve">En este orden de ideas, </w:t>
      </w:r>
      <w:r>
        <w:rPr>
          <w:rFonts w:ascii="Palatino Linotype" w:hAnsi="Palatino Linotype" w:cs="Arial"/>
          <w:sz w:val="24"/>
          <w:szCs w:val="24"/>
        </w:rPr>
        <w:t xml:space="preserve">a mi consideración parte de ese requerimiento de debió de tomar como </w:t>
      </w:r>
      <w:r w:rsidRPr="00CB5FAC">
        <w:rPr>
          <w:rFonts w:ascii="Palatino Linotype" w:hAnsi="Palatino Linotype" w:cs="Arial"/>
          <w:i/>
          <w:sz w:val="24"/>
          <w:szCs w:val="24"/>
        </w:rPr>
        <w:t>“cosa juzgada”</w:t>
      </w:r>
      <w:r>
        <w:rPr>
          <w:rFonts w:ascii="Palatino Linotype" w:hAnsi="Palatino Linotype" w:cs="Arial"/>
          <w:sz w:val="24"/>
          <w:szCs w:val="24"/>
        </w:rPr>
        <w:t xml:space="preserve">, ya que </w:t>
      </w:r>
      <w:r w:rsidRPr="00CB5FAC">
        <w:rPr>
          <w:rFonts w:ascii="Palatino Linotype" w:hAnsi="Palatino Linotype" w:cs="Arial"/>
          <w:sz w:val="24"/>
          <w:szCs w:val="24"/>
        </w:rPr>
        <w:t>se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 argumento que se robustece con la jurisprudencia del rubro y texto siguiente:</w:t>
      </w:r>
    </w:p>
    <w:p w:rsidR="00CB5FAC" w:rsidRPr="00F03D69" w:rsidRDefault="00CB5FAC" w:rsidP="00F03D69">
      <w:pPr>
        <w:spacing w:after="0" w:line="240" w:lineRule="auto"/>
        <w:ind w:left="851" w:right="1043"/>
        <w:jc w:val="both"/>
        <w:rPr>
          <w:rFonts w:ascii="Palatino Linotype" w:hAnsi="Palatino Linotype"/>
          <w:i/>
          <w:sz w:val="20"/>
          <w:szCs w:val="24"/>
        </w:rPr>
      </w:pPr>
      <w:r w:rsidRPr="00F03D69">
        <w:rPr>
          <w:rFonts w:ascii="Palatino Linotype" w:hAnsi="Palatino Linotype"/>
          <w:b/>
          <w:i/>
          <w:sz w:val="20"/>
          <w:szCs w:val="24"/>
        </w:rPr>
        <w:lastRenderedPageBreak/>
        <w:t>“COSA JUZGADA. EL ARTÍCULO 61, FRACCIÓN XI, DE LA LEY DE AMPARO QUE LA PREVÉ COMO CAUSA DE IMPROCEDENCIA DEL JUICIO RELATIVO, ES COMPATIBLE CON EL DERECHO A LA SEGURIDAD JURÍDICA.</w:t>
      </w:r>
      <w:r w:rsidRPr="00F03D69">
        <w:rPr>
          <w:rFonts w:ascii="Palatino Linotype" w:hAnsi="Palatino Linotype"/>
          <w:i/>
          <w:sz w:val="20"/>
          <w:szCs w:val="24"/>
        </w:rPr>
        <w:t xml:space="preserve"> 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inatacabilidad a través de un diverso juicio constitucional,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CB5FAC" w:rsidRPr="00CB5FAC" w:rsidRDefault="00CB5FAC" w:rsidP="00CB5FAC">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Relacionado con lo anterior y </w:t>
      </w:r>
      <w:r w:rsidRPr="00CB5FAC">
        <w:rPr>
          <w:rFonts w:ascii="Palatino Linotype" w:hAnsi="Palatino Linotype"/>
          <w:sz w:val="24"/>
          <w:szCs w:val="24"/>
        </w:rPr>
        <w:t xml:space="preserve">con el objeto de lograr claridad en </w:t>
      </w:r>
      <w:r>
        <w:rPr>
          <w:rFonts w:ascii="Palatino Linotype" w:hAnsi="Palatino Linotype"/>
          <w:sz w:val="24"/>
          <w:szCs w:val="24"/>
        </w:rPr>
        <w:t>e</w:t>
      </w:r>
      <w:r w:rsidRPr="00CB5FAC">
        <w:rPr>
          <w:rFonts w:ascii="Palatino Linotype" w:hAnsi="Palatino Linotype"/>
          <w:sz w:val="24"/>
          <w:szCs w:val="24"/>
        </w:rPr>
        <w:t>l</w:t>
      </w:r>
      <w:r>
        <w:rPr>
          <w:rFonts w:ascii="Palatino Linotype" w:hAnsi="Palatino Linotype"/>
          <w:sz w:val="24"/>
          <w:szCs w:val="24"/>
        </w:rPr>
        <w:t xml:space="preserve"> asunto</w:t>
      </w:r>
      <w:r w:rsidRPr="00CB5FAC">
        <w:rPr>
          <w:rFonts w:ascii="Palatino Linotype" w:hAnsi="Palatino Linotype"/>
          <w:sz w:val="24"/>
          <w:szCs w:val="24"/>
        </w:rPr>
        <w:t xml:space="preserve"> </w:t>
      </w:r>
      <w:r>
        <w:rPr>
          <w:rFonts w:ascii="Palatino Linotype" w:hAnsi="Palatino Linotype"/>
          <w:sz w:val="24"/>
          <w:szCs w:val="24"/>
        </w:rPr>
        <w:t xml:space="preserve">de interés que fue resuelto, </w:t>
      </w:r>
      <w:r w:rsidRPr="00CB5FAC">
        <w:rPr>
          <w:rFonts w:ascii="Palatino Linotype" w:hAnsi="Palatino Linotype"/>
          <w:sz w:val="24"/>
          <w:szCs w:val="24"/>
        </w:rPr>
        <w:t>se</w:t>
      </w:r>
      <w:r>
        <w:rPr>
          <w:rFonts w:ascii="Palatino Linotype" w:hAnsi="Palatino Linotype"/>
          <w:sz w:val="24"/>
          <w:szCs w:val="24"/>
        </w:rPr>
        <w:t xml:space="preserve"> considera importante traer a colación </w:t>
      </w:r>
      <w:r w:rsidRPr="00CB5FAC">
        <w:rPr>
          <w:rFonts w:ascii="Palatino Linotype" w:hAnsi="Palatino Linotype"/>
          <w:sz w:val="24"/>
          <w:szCs w:val="24"/>
        </w:rPr>
        <w:t xml:space="preserve">los rubros </w:t>
      </w:r>
      <w:r>
        <w:rPr>
          <w:rFonts w:ascii="Palatino Linotype" w:hAnsi="Palatino Linotype"/>
          <w:sz w:val="24"/>
          <w:szCs w:val="24"/>
        </w:rPr>
        <w:t xml:space="preserve">que son </w:t>
      </w:r>
      <w:r w:rsidRPr="00CB5FAC">
        <w:rPr>
          <w:rFonts w:ascii="Palatino Linotype" w:hAnsi="Palatino Linotype"/>
          <w:sz w:val="24"/>
          <w:szCs w:val="24"/>
        </w:rPr>
        <w:t xml:space="preserve">coincidentes </w:t>
      </w:r>
      <w:r>
        <w:rPr>
          <w:rFonts w:ascii="Palatino Linotype" w:hAnsi="Palatino Linotype"/>
          <w:sz w:val="24"/>
          <w:szCs w:val="24"/>
        </w:rPr>
        <w:t xml:space="preserve">tanto en el recurso de revisión </w:t>
      </w:r>
      <w:r w:rsidRPr="00CB5FAC">
        <w:rPr>
          <w:rFonts w:ascii="Palatino Linotype" w:hAnsi="Palatino Linotype"/>
          <w:sz w:val="24"/>
          <w:szCs w:val="24"/>
        </w:rPr>
        <w:t xml:space="preserve">en el recurso de revisión </w:t>
      </w:r>
      <w:r>
        <w:rPr>
          <w:rFonts w:ascii="Palatino Linotype" w:hAnsi="Palatino Linotype"/>
          <w:sz w:val="24"/>
          <w:szCs w:val="24"/>
        </w:rPr>
        <w:t>00022</w:t>
      </w:r>
      <w:r w:rsidRPr="00CB5FAC">
        <w:rPr>
          <w:rFonts w:ascii="Palatino Linotype" w:hAnsi="Palatino Linotype"/>
          <w:sz w:val="24"/>
          <w:szCs w:val="24"/>
        </w:rPr>
        <w:t>/INFOEM/IP/RR/2018 y el que nos ocupa:</w:t>
      </w:r>
    </w:p>
    <w:p w:rsidR="00CB5FAC" w:rsidRPr="00CB5FAC" w:rsidRDefault="00CB5FAC" w:rsidP="00CB5FAC">
      <w:pPr>
        <w:numPr>
          <w:ilvl w:val="0"/>
          <w:numId w:val="13"/>
        </w:numPr>
        <w:spacing w:before="240" w:after="360" w:line="360" w:lineRule="auto"/>
        <w:ind w:left="567" w:right="-1" w:hanging="207"/>
        <w:jc w:val="both"/>
        <w:rPr>
          <w:rFonts w:ascii="Palatino Linotype" w:hAnsi="Palatino Linotype" w:cs="Arial"/>
          <w:sz w:val="24"/>
          <w:szCs w:val="24"/>
        </w:rPr>
      </w:pPr>
      <w:r w:rsidRPr="00CB5FAC">
        <w:rPr>
          <w:rFonts w:ascii="Palatino Linotype" w:hAnsi="Palatino Linotype" w:cs="Arial"/>
          <w:sz w:val="24"/>
          <w:szCs w:val="24"/>
        </w:rPr>
        <w:t xml:space="preserve">En el solicitante y recurrente es </w:t>
      </w:r>
      <w:r w:rsidR="00BC6525">
        <w:rPr>
          <w:rFonts w:ascii="Palatino Linotype" w:hAnsi="Palatino Linotype" w:cs="Arial"/>
          <w:b/>
          <w:sz w:val="24"/>
          <w:szCs w:val="24"/>
        </w:rPr>
        <w:t>Xxxx Xxxxxxx Xxxxxx.</w:t>
      </w:r>
      <w:bookmarkStart w:id="0" w:name="_GoBack"/>
      <w:bookmarkEnd w:id="0"/>
    </w:p>
    <w:p w:rsidR="00CB5FAC" w:rsidRPr="00CB5FAC" w:rsidRDefault="00CB5FAC" w:rsidP="00CB5FAC">
      <w:pPr>
        <w:numPr>
          <w:ilvl w:val="0"/>
          <w:numId w:val="13"/>
        </w:numPr>
        <w:spacing w:before="240" w:after="360" w:line="360" w:lineRule="auto"/>
        <w:ind w:left="567" w:right="-1" w:hanging="207"/>
        <w:jc w:val="both"/>
        <w:rPr>
          <w:rFonts w:ascii="Palatino Linotype" w:hAnsi="Palatino Linotype" w:cs="Arial"/>
          <w:sz w:val="24"/>
          <w:szCs w:val="24"/>
        </w:rPr>
      </w:pPr>
      <w:r w:rsidRPr="00CB5FAC">
        <w:rPr>
          <w:rFonts w:ascii="Palatino Linotype" w:hAnsi="Palatino Linotype" w:cs="Arial"/>
          <w:sz w:val="24"/>
          <w:szCs w:val="24"/>
        </w:rPr>
        <w:t>La materia de información en las solicitudes se refiere a la entrega</w:t>
      </w:r>
      <w:r>
        <w:rPr>
          <w:rFonts w:ascii="Palatino Linotype" w:hAnsi="Palatino Linotype" w:cs="Arial"/>
          <w:sz w:val="24"/>
          <w:szCs w:val="24"/>
        </w:rPr>
        <w:t xml:space="preserve"> de información relacionada con las quejas presentadas en contra de la misma servidora pública</w:t>
      </w:r>
      <w:r w:rsidRPr="00CB5FAC">
        <w:rPr>
          <w:rFonts w:ascii="Palatino Linotype" w:hAnsi="Palatino Linotype" w:cs="Arial"/>
          <w:sz w:val="24"/>
          <w:szCs w:val="24"/>
        </w:rPr>
        <w:t>.</w:t>
      </w:r>
    </w:p>
    <w:p w:rsidR="00CB5FAC" w:rsidRPr="00CB5FAC" w:rsidRDefault="00CB5FAC" w:rsidP="00CB5FAC">
      <w:pPr>
        <w:numPr>
          <w:ilvl w:val="0"/>
          <w:numId w:val="13"/>
        </w:numPr>
        <w:spacing w:before="240" w:after="360" w:line="360" w:lineRule="auto"/>
        <w:ind w:left="567" w:right="-1" w:hanging="207"/>
        <w:jc w:val="both"/>
        <w:rPr>
          <w:rFonts w:ascii="Palatino Linotype" w:hAnsi="Palatino Linotype" w:cs="Arial"/>
          <w:sz w:val="24"/>
          <w:szCs w:val="24"/>
        </w:rPr>
      </w:pPr>
      <w:r w:rsidRPr="00CB5FAC">
        <w:rPr>
          <w:rFonts w:ascii="Palatino Linotype" w:hAnsi="Palatino Linotype" w:cs="Arial"/>
          <w:sz w:val="24"/>
          <w:szCs w:val="24"/>
        </w:rPr>
        <w:t>El Sujeto</w:t>
      </w:r>
      <w:r>
        <w:rPr>
          <w:rFonts w:ascii="Palatino Linotype" w:hAnsi="Palatino Linotype" w:cs="Arial"/>
          <w:sz w:val="24"/>
          <w:szCs w:val="24"/>
        </w:rPr>
        <w:t xml:space="preserve"> Obligado y autoridad impugnada </w:t>
      </w:r>
      <w:r w:rsidRPr="00CB5FAC">
        <w:rPr>
          <w:rFonts w:ascii="Palatino Linotype" w:hAnsi="Palatino Linotype" w:cs="Arial"/>
          <w:sz w:val="24"/>
          <w:szCs w:val="24"/>
        </w:rPr>
        <w:t>es el</w:t>
      </w:r>
      <w:r>
        <w:rPr>
          <w:rFonts w:ascii="Palatino Linotype" w:hAnsi="Palatino Linotype" w:cs="Arial"/>
          <w:sz w:val="24"/>
          <w:szCs w:val="24"/>
        </w:rPr>
        <w:t xml:space="preserve"> </w:t>
      </w:r>
      <w:r>
        <w:rPr>
          <w:rFonts w:ascii="Palatino Linotype" w:hAnsi="Palatino Linotype"/>
          <w:sz w:val="24"/>
          <w:szCs w:val="24"/>
        </w:rPr>
        <w:t>Colegio de Estudios Científicos y Tecnológicos del Estado de México.</w:t>
      </w:r>
    </w:p>
    <w:p w:rsidR="00CB5FAC" w:rsidRPr="00CB5FAC" w:rsidRDefault="00CB5FAC" w:rsidP="00CB5FAC">
      <w:pPr>
        <w:spacing w:before="240" w:after="360" w:line="360" w:lineRule="auto"/>
        <w:ind w:right="-1"/>
        <w:jc w:val="both"/>
        <w:rPr>
          <w:rFonts w:ascii="Palatino Linotype" w:hAnsi="Palatino Linotype" w:cs="Arial"/>
          <w:sz w:val="24"/>
          <w:szCs w:val="24"/>
        </w:rPr>
      </w:pPr>
      <w:r>
        <w:rPr>
          <w:rFonts w:ascii="Palatino Linotype" w:hAnsi="Palatino Linotype" w:cs="Arial"/>
          <w:sz w:val="24"/>
          <w:szCs w:val="24"/>
        </w:rPr>
        <w:lastRenderedPageBreak/>
        <w:t>En ese contexto</w:t>
      </w:r>
      <w:r w:rsidRPr="00CB5FAC">
        <w:rPr>
          <w:rFonts w:ascii="Palatino Linotype" w:hAnsi="Palatino Linotype" w:cs="Arial"/>
          <w:sz w:val="24"/>
          <w:szCs w:val="24"/>
        </w:rPr>
        <w:t>, es que se tiene certeza a</w:t>
      </w:r>
      <w:r>
        <w:rPr>
          <w:rFonts w:ascii="Palatino Linotype" w:hAnsi="Palatino Linotype" w:cs="Arial"/>
          <w:sz w:val="24"/>
          <w:szCs w:val="24"/>
        </w:rPr>
        <w:t>corde a lo expuesto, de que la</w:t>
      </w:r>
      <w:r w:rsidRPr="00CB5FAC">
        <w:rPr>
          <w:rFonts w:ascii="Palatino Linotype" w:hAnsi="Palatino Linotype" w:cs="Arial"/>
          <w:sz w:val="24"/>
          <w:szCs w:val="24"/>
        </w:rPr>
        <w:t xml:space="preserve"> petici</w:t>
      </w:r>
      <w:r>
        <w:rPr>
          <w:rFonts w:ascii="Palatino Linotype" w:hAnsi="Palatino Linotype" w:cs="Arial"/>
          <w:sz w:val="24"/>
          <w:szCs w:val="24"/>
        </w:rPr>
        <w:t>ón</w:t>
      </w:r>
      <w:r w:rsidRPr="00CB5FAC">
        <w:rPr>
          <w:rFonts w:ascii="Palatino Linotype" w:hAnsi="Palatino Linotype" w:cs="Arial"/>
          <w:sz w:val="24"/>
          <w:szCs w:val="24"/>
        </w:rPr>
        <w:t xml:space="preserve"> que el particular ha planteado</w:t>
      </w:r>
      <w:r>
        <w:rPr>
          <w:rFonts w:ascii="Palatino Linotype" w:hAnsi="Palatino Linotype" w:cs="Arial"/>
          <w:sz w:val="24"/>
          <w:szCs w:val="24"/>
        </w:rPr>
        <w:t xml:space="preserve"> en uno de los puntos del recurso de revisión 04538/INFOEM/IP/2018</w:t>
      </w:r>
      <w:r w:rsidRPr="00CB5FAC">
        <w:rPr>
          <w:rFonts w:ascii="Palatino Linotype" w:hAnsi="Palatino Linotype" w:cs="Arial"/>
          <w:sz w:val="24"/>
          <w:szCs w:val="24"/>
        </w:rPr>
        <w:t>, versan sobre el mismo asunto; es decir, que en el fondo atañen a la misma circunstancia, además como se precisó con antelación, el precedente del recurso de revisión en que se actúa, ya fue resuelto y debidamente notifica</w:t>
      </w:r>
      <w:r w:rsidR="00221BFE">
        <w:rPr>
          <w:rFonts w:ascii="Palatino Linotype" w:hAnsi="Palatino Linotype" w:cs="Arial"/>
          <w:sz w:val="24"/>
          <w:szCs w:val="24"/>
        </w:rPr>
        <w:t>do al particular</w:t>
      </w:r>
      <w:r w:rsidRPr="00CB5FAC">
        <w:rPr>
          <w:rFonts w:ascii="Palatino Linotype" w:hAnsi="Palatino Linotype" w:cs="Arial"/>
          <w:sz w:val="24"/>
          <w:szCs w:val="24"/>
        </w:rPr>
        <w:t>.</w:t>
      </w:r>
    </w:p>
    <w:p w:rsidR="00CB5FAC" w:rsidRPr="00CB5FAC" w:rsidRDefault="00CB5FAC" w:rsidP="00CB5FAC">
      <w:pPr>
        <w:spacing w:before="240" w:after="360" w:line="360" w:lineRule="auto"/>
        <w:ind w:right="-1"/>
        <w:jc w:val="both"/>
        <w:rPr>
          <w:rFonts w:ascii="Palatino Linotype" w:hAnsi="Palatino Linotype" w:cs="Arial"/>
          <w:sz w:val="24"/>
          <w:szCs w:val="24"/>
        </w:rPr>
      </w:pPr>
      <w:r w:rsidRPr="00CB5FAC">
        <w:rPr>
          <w:rFonts w:ascii="Palatino Linotype" w:hAnsi="Palatino Linotype" w:cs="Arial"/>
          <w:sz w:val="24"/>
          <w:szCs w:val="24"/>
        </w:rPr>
        <w:t xml:space="preserve">Siendo suficiente lo anterior para denotar que se está en imposibilidad de atender los motivos de inconformidad </w:t>
      </w:r>
      <w:r w:rsidR="00221BFE">
        <w:rPr>
          <w:rFonts w:ascii="Palatino Linotype" w:hAnsi="Palatino Linotype" w:cs="Arial"/>
          <w:sz w:val="24"/>
          <w:szCs w:val="24"/>
        </w:rPr>
        <w:t xml:space="preserve">respecto a ese punto planteado hasta el veintitrés de noviembre de dos mil diecisiete, </w:t>
      </w:r>
      <w:r w:rsidRPr="00CB5FAC">
        <w:rPr>
          <w:rFonts w:ascii="Palatino Linotype" w:hAnsi="Palatino Linotype" w:cs="Arial"/>
          <w:sz w:val="24"/>
          <w:szCs w:val="24"/>
        </w:rPr>
        <w:t>al denotarse identidad de recursos entre éste y uno previo, de manera que un segundo fallo carecería de eficacia jurídica, con la posibilidad además de incurrir en contradicción de resoluciones.</w:t>
      </w:r>
    </w:p>
    <w:p w:rsidR="00CB5FAC" w:rsidRDefault="00CB5FAC" w:rsidP="00CB5FAC">
      <w:pPr>
        <w:spacing w:before="240" w:after="360" w:line="360" w:lineRule="auto"/>
        <w:ind w:right="-1"/>
        <w:jc w:val="both"/>
        <w:rPr>
          <w:rFonts w:ascii="Palatino Linotype" w:hAnsi="Palatino Linotype" w:cs="Arial"/>
          <w:sz w:val="24"/>
          <w:szCs w:val="24"/>
        </w:rPr>
      </w:pPr>
      <w:r w:rsidRPr="00CB5FAC">
        <w:rPr>
          <w:rFonts w:ascii="Palatino Linotype" w:hAnsi="Palatino Linotype" w:cs="Arial"/>
          <w:sz w:val="24"/>
          <w:szCs w:val="24"/>
        </w:rPr>
        <w:t>Bajo dichas consideraciones,</w:t>
      </w:r>
      <w:r w:rsidR="009C30F0">
        <w:rPr>
          <w:rFonts w:ascii="Palatino Linotype" w:hAnsi="Palatino Linotype" w:cs="Arial"/>
          <w:sz w:val="24"/>
          <w:szCs w:val="24"/>
        </w:rPr>
        <w:t xml:space="preserve"> a mi parecer</w:t>
      </w:r>
      <w:r w:rsidRPr="00CB5FAC">
        <w:rPr>
          <w:rFonts w:ascii="Palatino Linotype" w:hAnsi="Palatino Linotype" w:cs="Arial"/>
          <w:sz w:val="24"/>
          <w:szCs w:val="24"/>
        </w:rPr>
        <w:t xml:space="preserve"> se actualiza la figura de cosa juzgada</w:t>
      </w:r>
      <w:r w:rsidR="009C30F0">
        <w:rPr>
          <w:rFonts w:ascii="Palatino Linotype" w:hAnsi="Palatino Linotype" w:cs="Arial"/>
          <w:sz w:val="24"/>
          <w:szCs w:val="24"/>
        </w:rPr>
        <w:t xml:space="preserve"> en el inciso d del resolutivo Segundo, que sería hasta la fecha en que fue emitida la respuesta a solicitud pasada, ello el 23 de noviembre de 2017, por lo que considero que únicamente se debió ordenar la búsqueda y entrega de la información relativa a las quejas presentadas en contra de la servidora pública, del 24 de noviembre de 2017 al 7 de noviembre de 2018.</w:t>
      </w:r>
    </w:p>
    <w:p w:rsidR="009C30F0" w:rsidRPr="00CB5FAC" w:rsidRDefault="009C30F0" w:rsidP="00CB5FAC">
      <w:pPr>
        <w:spacing w:before="240" w:after="360" w:line="360" w:lineRule="auto"/>
        <w:ind w:right="-1"/>
        <w:jc w:val="both"/>
        <w:rPr>
          <w:rFonts w:ascii="Palatino Linotype" w:hAnsi="Palatino Linotype" w:cs="Arial"/>
          <w:sz w:val="24"/>
          <w:szCs w:val="24"/>
        </w:rPr>
      </w:pPr>
      <w:r>
        <w:rPr>
          <w:rFonts w:ascii="Palatino Linotype" w:hAnsi="Palatino Linotype" w:cs="Arial"/>
          <w:sz w:val="24"/>
          <w:szCs w:val="24"/>
        </w:rPr>
        <w:t xml:space="preserve">Lo anterior deviene de lo antes expuesto, pues resultaría ocioso ordenar de nueva cuenta información que ya ha sido entregada a la misma persona, por lo que con el fin de salvaguardar los principios del derecho como lo son la eficacia y expeditez contenidos en la Constitución Política de los Estados Unidos Mexicanos, considero se debió estar a lo dispuesto por cuanto hacía a la temporalidad del recurso </w:t>
      </w:r>
      <w:r>
        <w:rPr>
          <w:rFonts w:ascii="Palatino Linotype" w:hAnsi="Palatino Linotype" w:cs="Arial"/>
          <w:sz w:val="24"/>
          <w:szCs w:val="24"/>
        </w:rPr>
        <w:lastRenderedPageBreak/>
        <w:t>00022/INFOEM/IP/2018 y únicamente ordenar la búsqueda de informaci</w:t>
      </w:r>
      <w:r w:rsidR="001A0E3F">
        <w:rPr>
          <w:rFonts w:ascii="Palatino Linotype" w:hAnsi="Palatino Linotype" w:cs="Arial"/>
          <w:sz w:val="24"/>
          <w:szCs w:val="24"/>
        </w:rPr>
        <w:t>ón en el periodo restante, sobre el cual este Órgano Garante no ha emitido pronunciamiento alguno.</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En conclusión y a mi consideración, el sentido de la resolución es compartido, ya que estimo resultaba procedente </w:t>
      </w:r>
      <w:r w:rsidR="0042565B">
        <w:rPr>
          <w:rFonts w:ascii="Palatino Linotype" w:hAnsi="Palatino Linotype" w:cs="Arial"/>
          <w:sz w:val="24"/>
          <w:szCs w:val="24"/>
        </w:rPr>
        <w:t>revocar</w:t>
      </w:r>
      <w:r w:rsidRPr="009A26A1">
        <w:rPr>
          <w:rFonts w:ascii="Palatino Linotype" w:hAnsi="Palatino Linotype" w:cs="Arial"/>
          <w:sz w:val="24"/>
          <w:szCs w:val="24"/>
        </w:rPr>
        <w:t xml:space="preserve"> la</w:t>
      </w:r>
      <w:r w:rsidR="0042565B">
        <w:rPr>
          <w:rFonts w:ascii="Palatino Linotype" w:hAnsi="Palatino Linotype" w:cs="Arial"/>
          <w:sz w:val="24"/>
          <w:szCs w:val="24"/>
        </w:rPr>
        <w:t>s</w:t>
      </w:r>
      <w:r w:rsidRPr="009A26A1">
        <w:rPr>
          <w:rFonts w:ascii="Palatino Linotype" w:hAnsi="Palatino Linotype" w:cs="Arial"/>
          <w:sz w:val="24"/>
          <w:szCs w:val="24"/>
        </w:rPr>
        <w:t xml:space="preserve"> respuesta</w:t>
      </w:r>
      <w:r w:rsidR="0042565B">
        <w:rPr>
          <w:rFonts w:ascii="Palatino Linotype" w:hAnsi="Palatino Linotype" w:cs="Arial"/>
          <w:sz w:val="24"/>
          <w:szCs w:val="24"/>
        </w:rPr>
        <w:t>s</w:t>
      </w:r>
      <w:r w:rsidRPr="009A26A1">
        <w:rPr>
          <w:rFonts w:ascii="Palatino Linotype" w:hAnsi="Palatino Linotype" w:cs="Arial"/>
          <w:sz w:val="24"/>
          <w:szCs w:val="24"/>
        </w:rPr>
        <w:t xml:space="preserve"> del Sujeto Obligado, para tener por satisfecho el derecho de acceso a la información pública del particular, el cual es menester de éste Pleno garantizar. No obstante, </w:t>
      </w:r>
      <w:r w:rsidR="0042565B">
        <w:rPr>
          <w:rFonts w:ascii="Palatino Linotype" w:hAnsi="Palatino Linotype" w:cs="Arial"/>
          <w:sz w:val="24"/>
          <w:szCs w:val="24"/>
        </w:rPr>
        <w:t>para el suscrito, faltó considera los procedentes emitidos, con el fin de no emitir resoluciones contradictorias y garantizar los principios del derecho</w:t>
      </w:r>
      <w:r w:rsidRPr="009A26A1">
        <w:rPr>
          <w:rFonts w:ascii="Palatino Linotype" w:hAnsi="Palatino Linotype" w:cs="Arial"/>
          <w:sz w:val="24"/>
          <w:szCs w:val="24"/>
        </w:rPr>
        <w:t>.</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Por todo lo expuesto es que formulo el presente voto particular, en los términos precisados, considerando que las reflexiones aquí expuestas hubieran resultado importantes para ordenar la entrega de la información que se hace en el recurso de revisión que fue resuelto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9A26A1" w:rsidTr="006F7C5A">
        <w:trPr>
          <w:trHeight w:val="809"/>
          <w:jc w:val="center"/>
        </w:trPr>
        <w:tc>
          <w:tcPr>
            <w:tcW w:w="4396" w:type="dxa"/>
          </w:tcPr>
          <w:p w:rsidR="0023607D" w:rsidRPr="009A26A1" w:rsidRDefault="0023607D" w:rsidP="000226A1">
            <w:pPr>
              <w:jc w:val="center"/>
              <w:rPr>
                <w:rFonts w:ascii="Palatino Linotype" w:hAnsi="Palatino Linotype"/>
                <w:b/>
                <w:sz w:val="24"/>
                <w:szCs w:val="24"/>
              </w:rPr>
            </w:pPr>
          </w:p>
          <w:p w:rsidR="000A0C45" w:rsidRPr="009A26A1" w:rsidRDefault="000A0C45" w:rsidP="000226A1">
            <w:pPr>
              <w:jc w:val="center"/>
              <w:rPr>
                <w:rFonts w:ascii="Palatino Linotype" w:hAnsi="Palatino Linotype"/>
                <w:b/>
                <w:sz w:val="24"/>
                <w:szCs w:val="24"/>
              </w:rPr>
            </w:pPr>
          </w:p>
          <w:p w:rsidR="00EE44E1" w:rsidRPr="009A26A1" w:rsidRDefault="00EE44E1" w:rsidP="000226A1">
            <w:pPr>
              <w:jc w:val="center"/>
              <w:rPr>
                <w:rFonts w:ascii="Palatino Linotype" w:hAnsi="Palatino Linotype"/>
                <w:b/>
                <w:sz w:val="24"/>
                <w:szCs w:val="24"/>
              </w:rPr>
            </w:pPr>
          </w:p>
          <w:p w:rsidR="0023607D" w:rsidRPr="009A26A1" w:rsidRDefault="0023607D" w:rsidP="000226A1">
            <w:pPr>
              <w:jc w:val="center"/>
              <w:rPr>
                <w:rFonts w:ascii="Palatino Linotype" w:hAnsi="Palatino Linotype"/>
                <w:b/>
                <w:sz w:val="24"/>
                <w:szCs w:val="24"/>
              </w:rPr>
            </w:pPr>
            <w:r w:rsidRPr="009A26A1">
              <w:rPr>
                <w:rFonts w:ascii="Palatino Linotype" w:hAnsi="Palatino Linotype"/>
                <w:b/>
                <w:sz w:val="24"/>
                <w:szCs w:val="24"/>
              </w:rPr>
              <w:t>Javier Martínez Cruz</w:t>
            </w:r>
          </w:p>
        </w:tc>
      </w:tr>
      <w:tr w:rsidR="0023607D" w:rsidRPr="009A26A1" w:rsidTr="006F7C5A">
        <w:trPr>
          <w:trHeight w:val="319"/>
          <w:jc w:val="center"/>
        </w:trPr>
        <w:tc>
          <w:tcPr>
            <w:tcW w:w="4396" w:type="dxa"/>
          </w:tcPr>
          <w:p w:rsidR="0023607D" w:rsidRPr="009A26A1" w:rsidRDefault="0023607D" w:rsidP="000A0C45">
            <w:pPr>
              <w:jc w:val="center"/>
              <w:rPr>
                <w:rFonts w:ascii="Palatino Linotype" w:hAnsi="Palatino Linotype"/>
                <w:b/>
                <w:sz w:val="24"/>
                <w:szCs w:val="24"/>
              </w:rPr>
            </w:pPr>
            <w:r w:rsidRPr="009A26A1">
              <w:rPr>
                <w:rFonts w:ascii="Palatino Linotype" w:hAnsi="Palatino Linotype"/>
                <w:b/>
                <w:sz w:val="24"/>
                <w:szCs w:val="24"/>
              </w:rPr>
              <w:t>Comisionado</w:t>
            </w:r>
          </w:p>
          <w:p w:rsidR="00873D78" w:rsidRPr="009A26A1" w:rsidRDefault="00873D78" w:rsidP="00064093">
            <w:pPr>
              <w:jc w:val="cente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B6" w:rsidRDefault="000603B6" w:rsidP="004E7F5E">
      <w:pPr>
        <w:spacing w:after="0" w:line="240" w:lineRule="auto"/>
      </w:pPr>
      <w:r>
        <w:separator/>
      </w:r>
    </w:p>
  </w:endnote>
  <w:endnote w:type="continuationSeparator" w:id="0">
    <w:p w:rsidR="000603B6" w:rsidRDefault="000603B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0226A1" w:rsidRDefault="000226A1">
        <w:pPr>
          <w:pStyle w:val="Piedepgina"/>
          <w:jc w:val="right"/>
        </w:pPr>
        <w:r>
          <w:fldChar w:fldCharType="begin"/>
        </w:r>
        <w:r>
          <w:instrText>PAGE   \* MERGEFORMAT</w:instrText>
        </w:r>
        <w:r>
          <w:fldChar w:fldCharType="separate"/>
        </w:r>
        <w:r w:rsidR="00BC6525" w:rsidRPr="00BC6525">
          <w:rPr>
            <w:noProof/>
            <w:lang w:val="es-ES"/>
          </w:rPr>
          <w:t>4</w:t>
        </w:r>
        <w:r>
          <w:fldChar w:fldCharType="end"/>
        </w:r>
        <w:r w:rsidR="00F03D69">
          <w:t xml:space="preserve"> de 6</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B6" w:rsidRDefault="000603B6" w:rsidP="004E7F5E">
      <w:pPr>
        <w:spacing w:after="0" w:line="240" w:lineRule="auto"/>
      </w:pPr>
      <w:r>
        <w:separator/>
      </w:r>
    </w:p>
  </w:footnote>
  <w:footnote w:type="continuationSeparator" w:id="0">
    <w:p w:rsidR="000603B6" w:rsidRDefault="000603B6"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603B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603B6"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561B33" w:rsidRDefault="000226A1" w:rsidP="005604F4">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561B33">
      <w:rPr>
        <w:rFonts w:ascii="Palatino Linotype" w:hAnsi="Palatino Linotype" w:cs="Arial"/>
        <w:b/>
        <w:bCs/>
        <w:sz w:val="24"/>
        <w:szCs w:val="24"/>
        <w:lang w:eastAsia="es-MX"/>
      </w:rPr>
      <w:t>04538</w:t>
    </w:r>
    <w:r>
      <w:rPr>
        <w:rFonts w:ascii="Palatino Linotype" w:hAnsi="Palatino Linotype" w:cs="Arial"/>
        <w:b/>
        <w:bCs/>
        <w:sz w:val="24"/>
        <w:szCs w:val="24"/>
        <w:lang w:eastAsia="es-MX"/>
      </w:rPr>
      <w:t>/INFOEM/IP/RR/2018</w:t>
    </w:r>
  </w:p>
  <w:p w:rsidR="000226A1" w:rsidRDefault="00561B33" w:rsidP="005604F4">
    <w:pPr>
      <w:pStyle w:val="Encabezado"/>
      <w:jc w:val="right"/>
    </w:pPr>
    <w:r>
      <w:rPr>
        <w:rFonts w:ascii="Palatino Linotype" w:hAnsi="Palatino Linotype" w:cs="Arial"/>
        <w:b/>
        <w:bCs/>
        <w:sz w:val="24"/>
        <w:szCs w:val="24"/>
        <w:lang w:eastAsia="es-MX"/>
      </w:rPr>
      <w:t>y 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603B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10"/>
  </w:num>
  <w:num w:numId="7">
    <w:abstractNumId w:val="12"/>
  </w:num>
  <w:num w:numId="8">
    <w:abstractNumId w:val="2"/>
  </w:num>
  <w:num w:numId="9">
    <w:abstractNumId w:val="9"/>
  </w:num>
  <w:num w:numId="10">
    <w:abstractNumId w:val="7"/>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5AA8"/>
    <w:rsid w:val="00052356"/>
    <w:rsid w:val="00055383"/>
    <w:rsid w:val="000556A8"/>
    <w:rsid w:val="00056A42"/>
    <w:rsid w:val="00057D96"/>
    <w:rsid w:val="000603B6"/>
    <w:rsid w:val="00064093"/>
    <w:rsid w:val="00065C00"/>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685"/>
    <w:rsid w:val="000B3737"/>
    <w:rsid w:val="000B5A95"/>
    <w:rsid w:val="000C390D"/>
    <w:rsid w:val="000C56D0"/>
    <w:rsid w:val="000C5730"/>
    <w:rsid w:val="000D14F0"/>
    <w:rsid w:val="000D3D02"/>
    <w:rsid w:val="000E07A9"/>
    <w:rsid w:val="000E345C"/>
    <w:rsid w:val="000E4FD5"/>
    <w:rsid w:val="000E6F9C"/>
    <w:rsid w:val="000E743E"/>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341A"/>
    <w:rsid w:val="00135B64"/>
    <w:rsid w:val="00136EDB"/>
    <w:rsid w:val="0014418A"/>
    <w:rsid w:val="00145434"/>
    <w:rsid w:val="00146F5D"/>
    <w:rsid w:val="001474AE"/>
    <w:rsid w:val="001509E6"/>
    <w:rsid w:val="0015327E"/>
    <w:rsid w:val="00153946"/>
    <w:rsid w:val="001569F0"/>
    <w:rsid w:val="001633C9"/>
    <w:rsid w:val="001641CD"/>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0E3F"/>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1BFE"/>
    <w:rsid w:val="00222983"/>
    <w:rsid w:val="00222E6F"/>
    <w:rsid w:val="00224EFE"/>
    <w:rsid w:val="00225F85"/>
    <w:rsid w:val="0023094A"/>
    <w:rsid w:val="00230D57"/>
    <w:rsid w:val="00232C74"/>
    <w:rsid w:val="00232C86"/>
    <w:rsid w:val="002337F8"/>
    <w:rsid w:val="00233F68"/>
    <w:rsid w:val="002350CD"/>
    <w:rsid w:val="0023607D"/>
    <w:rsid w:val="0023687B"/>
    <w:rsid w:val="00245CA8"/>
    <w:rsid w:val="00247F22"/>
    <w:rsid w:val="0025161A"/>
    <w:rsid w:val="00251938"/>
    <w:rsid w:val="00251A53"/>
    <w:rsid w:val="002535ED"/>
    <w:rsid w:val="002537DC"/>
    <w:rsid w:val="00253FFE"/>
    <w:rsid w:val="00255216"/>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78"/>
    <w:rsid w:val="002B1DE8"/>
    <w:rsid w:val="002B39F5"/>
    <w:rsid w:val="002B443D"/>
    <w:rsid w:val="002B5144"/>
    <w:rsid w:val="002B5D68"/>
    <w:rsid w:val="002B6E61"/>
    <w:rsid w:val="002C7A5B"/>
    <w:rsid w:val="002D07A7"/>
    <w:rsid w:val="002D30A8"/>
    <w:rsid w:val="002E0C12"/>
    <w:rsid w:val="002E11D9"/>
    <w:rsid w:val="002E44ED"/>
    <w:rsid w:val="002E4C3F"/>
    <w:rsid w:val="002E589A"/>
    <w:rsid w:val="002E5EF4"/>
    <w:rsid w:val="002F3106"/>
    <w:rsid w:val="00301664"/>
    <w:rsid w:val="00306340"/>
    <w:rsid w:val="00307366"/>
    <w:rsid w:val="0031071E"/>
    <w:rsid w:val="00311CE7"/>
    <w:rsid w:val="00315D1F"/>
    <w:rsid w:val="003201EE"/>
    <w:rsid w:val="00321CF3"/>
    <w:rsid w:val="003449BA"/>
    <w:rsid w:val="00347B55"/>
    <w:rsid w:val="00350062"/>
    <w:rsid w:val="00350982"/>
    <w:rsid w:val="00351E9A"/>
    <w:rsid w:val="00353B12"/>
    <w:rsid w:val="00353C59"/>
    <w:rsid w:val="003565EA"/>
    <w:rsid w:val="003633CF"/>
    <w:rsid w:val="003655A3"/>
    <w:rsid w:val="003670FA"/>
    <w:rsid w:val="00371839"/>
    <w:rsid w:val="00373349"/>
    <w:rsid w:val="0037354C"/>
    <w:rsid w:val="00375858"/>
    <w:rsid w:val="00381C9C"/>
    <w:rsid w:val="003844F3"/>
    <w:rsid w:val="003854E1"/>
    <w:rsid w:val="00385516"/>
    <w:rsid w:val="00386D79"/>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23F7"/>
    <w:rsid w:val="00404AC4"/>
    <w:rsid w:val="00404D84"/>
    <w:rsid w:val="00404F09"/>
    <w:rsid w:val="00415574"/>
    <w:rsid w:val="00415C72"/>
    <w:rsid w:val="0041600F"/>
    <w:rsid w:val="00416635"/>
    <w:rsid w:val="00421827"/>
    <w:rsid w:val="00423F5C"/>
    <w:rsid w:val="0042565B"/>
    <w:rsid w:val="004265F4"/>
    <w:rsid w:val="00427908"/>
    <w:rsid w:val="0043077C"/>
    <w:rsid w:val="00432641"/>
    <w:rsid w:val="00432C3A"/>
    <w:rsid w:val="004332ED"/>
    <w:rsid w:val="0043498E"/>
    <w:rsid w:val="00435C2D"/>
    <w:rsid w:val="0044097B"/>
    <w:rsid w:val="004410A9"/>
    <w:rsid w:val="00446A1B"/>
    <w:rsid w:val="00450D6F"/>
    <w:rsid w:val="00452DD8"/>
    <w:rsid w:val="00454588"/>
    <w:rsid w:val="004607C5"/>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1B33"/>
    <w:rsid w:val="00564F2E"/>
    <w:rsid w:val="005671E6"/>
    <w:rsid w:val="00575A23"/>
    <w:rsid w:val="005765BC"/>
    <w:rsid w:val="005776B7"/>
    <w:rsid w:val="00581E6C"/>
    <w:rsid w:val="00582040"/>
    <w:rsid w:val="00582061"/>
    <w:rsid w:val="005844C9"/>
    <w:rsid w:val="00590084"/>
    <w:rsid w:val="005906A0"/>
    <w:rsid w:val="00591560"/>
    <w:rsid w:val="005956DF"/>
    <w:rsid w:val="0059772D"/>
    <w:rsid w:val="00597AF1"/>
    <w:rsid w:val="005A33FA"/>
    <w:rsid w:val="005A3C30"/>
    <w:rsid w:val="005A60F4"/>
    <w:rsid w:val="005A684B"/>
    <w:rsid w:val="005A73D5"/>
    <w:rsid w:val="005B05C7"/>
    <w:rsid w:val="005B1B82"/>
    <w:rsid w:val="005B1D14"/>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6DDB"/>
    <w:rsid w:val="00611681"/>
    <w:rsid w:val="00611952"/>
    <w:rsid w:val="00611DF2"/>
    <w:rsid w:val="00616274"/>
    <w:rsid w:val="00616C68"/>
    <w:rsid w:val="0062043B"/>
    <w:rsid w:val="00620E67"/>
    <w:rsid w:val="00622D24"/>
    <w:rsid w:val="00627BF2"/>
    <w:rsid w:val="00630D44"/>
    <w:rsid w:val="00632045"/>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108C"/>
    <w:rsid w:val="00682BB3"/>
    <w:rsid w:val="00683514"/>
    <w:rsid w:val="0068651D"/>
    <w:rsid w:val="006908C3"/>
    <w:rsid w:val="00693AA6"/>
    <w:rsid w:val="00693F7C"/>
    <w:rsid w:val="00694784"/>
    <w:rsid w:val="006953FF"/>
    <w:rsid w:val="006A3448"/>
    <w:rsid w:val="006A58FB"/>
    <w:rsid w:val="006B0468"/>
    <w:rsid w:val="006B29C2"/>
    <w:rsid w:val="006B3E1F"/>
    <w:rsid w:val="006B5E8A"/>
    <w:rsid w:val="006B5F1F"/>
    <w:rsid w:val="006B648F"/>
    <w:rsid w:val="006C0762"/>
    <w:rsid w:val="006C3250"/>
    <w:rsid w:val="006C55A2"/>
    <w:rsid w:val="006C6037"/>
    <w:rsid w:val="006D153D"/>
    <w:rsid w:val="006D2799"/>
    <w:rsid w:val="006D40AC"/>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942E2"/>
    <w:rsid w:val="00894CB9"/>
    <w:rsid w:val="008A144C"/>
    <w:rsid w:val="008A1AB0"/>
    <w:rsid w:val="008A3397"/>
    <w:rsid w:val="008B2205"/>
    <w:rsid w:val="008B402E"/>
    <w:rsid w:val="008B5CF6"/>
    <w:rsid w:val="008C4FC0"/>
    <w:rsid w:val="008C7966"/>
    <w:rsid w:val="008D17AF"/>
    <w:rsid w:val="008D36F3"/>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FB4"/>
    <w:rsid w:val="00920E16"/>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B0366"/>
    <w:rsid w:val="009B347D"/>
    <w:rsid w:val="009B4EF4"/>
    <w:rsid w:val="009B5C84"/>
    <w:rsid w:val="009B6512"/>
    <w:rsid w:val="009B7151"/>
    <w:rsid w:val="009B7357"/>
    <w:rsid w:val="009C2B5A"/>
    <w:rsid w:val="009C30F0"/>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446E"/>
    <w:rsid w:val="00A54674"/>
    <w:rsid w:val="00A5507A"/>
    <w:rsid w:val="00A57FB4"/>
    <w:rsid w:val="00A6000E"/>
    <w:rsid w:val="00A60286"/>
    <w:rsid w:val="00A66C66"/>
    <w:rsid w:val="00A673AF"/>
    <w:rsid w:val="00A71079"/>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33A9"/>
    <w:rsid w:val="00AD5147"/>
    <w:rsid w:val="00AD5BF8"/>
    <w:rsid w:val="00AD7E2F"/>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6D9D"/>
    <w:rsid w:val="00BB0848"/>
    <w:rsid w:val="00BB3B46"/>
    <w:rsid w:val="00BC1231"/>
    <w:rsid w:val="00BC2CA8"/>
    <w:rsid w:val="00BC425B"/>
    <w:rsid w:val="00BC4377"/>
    <w:rsid w:val="00BC5E95"/>
    <w:rsid w:val="00BC652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544"/>
    <w:rsid w:val="00C92F62"/>
    <w:rsid w:val="00C96911"/>
    <w:rsid w:val="00CA02DA"/>
    <w:rsid w:val="00CA19A6"/>
    <w:rsid w:val="00CA2076"/>
    <w:rsid w:val="00CA35BE"/>
    <w:rsid w:val="00CB5FAC"/>
    <w:rsid w:val="00CB783F"/>
    <w:rsid w:val="00CB7F56"/>
    <w:rsid w:val="00CC27D2"/>
    <w:rsid w:val="00CC38B9"/>
    <w:rsid w:val="00CC4037"/>
    <w:rsid w:val="00CC5522"/>
    <w:rsid w:val="00CC65C4"/>
    <w:rsid w:val="00CC6F0B"/>
    <w:rsid w:val="00CD0187"/>
    <w:rsid w:val="00CD36A0"/>
    <w:rsid w:val="00CE1ACF"/>
    <w:rsid w:val="00CE3B51"/>
    <w:rsid w:val="00CE55EC"/>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E7D"/>
    <w:rsid w:val="00D343A0"/>
    <w:rsid w:val="00D34C6B"/>
    <w:rsid w:val="00D34E8E"/>
    <w:rsid w:val="00D354FF"/>
    <w:rsid w:val="00D37796"/>
    <w:rsid w:val="00D37E2D"/>
    <w:rsid w:val="00D40D2C"/>
    <w:rsid w:val="00D40E6A"/>
    <w:rsid w:val="00D41A0B"/>
    <w:rsid w:val="00D4272F"/>
    <w:rsid w:val="00D44ABB"/>
    <w:rsid w:val="00D46057"/>
    <w:rsid w:val="00D5163C"/>
    <w:rsid w:val="00D532D8"/>
    <w:rsid w:val="00D5399A"/>
    <w:rsid w:val="00D570CB"/>
    <w:rsid w:val="00D609A0"/>
    <w:rsid w:val="00D60F47"/>
    <w:rsid w:val="00D650C5"/>
    <w:rsid w:val="00D66FB6"/>
    <w:rsid w:val="00D71B39"/>
    <w:rsid w:val="00D825B7"/>
    <w:rsid w:val="00D82F11"/>
    <w:rsid w:val="00D90EFC"/>
    <w:rsid w:val="00D9144C"/>
    <w:rsid w:val="00D921B3"/>
    <w:rsid w:val="00D923D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31D2B"/>
    <w:rsid w:val="00E33217"/>
    <w:rsid w:val="00E4373E"/>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129B"/>
    <w:rsid w:val="00ED23BE"/>
    <w:rsid w:val="00ED38A6"/>
    <w:rsid w:val="00ED3D6B"/>
    <w:rsid w:val="00EE44E1"/>
    <w:rsid w:val="00EE50E8"/>
    <w:rsid w:val="00EE5912"/>
    <w:rsid w:val="00EE7156"/>
    <w:rsid w:val="00EE7A06"/>
    <w:rsid w:val="00EF222A"/>
    <w:rsid w:val="00EF3DBD"/>
    <w:rsid w:val="00EF6D07"/>
    <w:rsid w:val="00EF7676"/>
    <w:rsid w:val="00F00102"/>
    <w:rsid w:val="00F02640"/>
    <w:rsid w:val="00F03672"/>
    <w:rsid w:val="00F03D69"/>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4898"/>
    <w:rsid w:val="00F35ED6"/>
    <w:rsid w:val="00F36831"/>
    <w:rsid w:val="00F406A0"/>
    <w:rsid w:val="00F44D94"/>
    <w:rsid w:val="00F53251"/>
    <w:rsid w:val="00F61527"/>
    <w:rsid w:val="00F66558"/>
    <w:rsid w:val="00F7085F"/>
    <w:rsid w:val="00F7163D"/>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3443"/>
    <w:rsid w:val="00FA573F"/>
    <w:rsid w:val="00FA58BE"/>
    <w:rsid w:val="00FA6051"/>
    <w:rsid w:val="00FA713D"/>
    <w:rsid w:val="00FB06F8"/>
    <w:rsid w:val="00FB3A2B"/>
    <w:rsid w:val="00FB4195"/>
    <w:rsid w:val="00FB5FB0"/>
    <w:rsid w:val="00FC00D0"/>
    <w:rsid w:val="00FC6C26"/>
    <w:rsid w:val="00FC7CC4"/>
    <w:rsid w:val="00FD0318"/>
    <w:rsid w:val="00FD23D7"/>
    <w:rsid w:val="00FD2D49"/>
    <w:rsid w:val="00FD3ACD"/>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A0F6-1650-4F76-88C3-11BF001A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6</Pages>
  <Words>1431</Words>
  <Characters>7873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235</cp:revision>
  <cp:lastPrinted>2019-02-18T21:49:00Z</cp:lastPrinted>
  <dcterms:created xsi:type="dcterms:W3CDTF">2017-03-15T20:55:00Z</dcterms:created>
  <dcterms:modified xsi:type="dcterms:W3CDTF">2019-03-14T16:43:00Z</dcterms:modified>
</cp:coreProperties>
</file>